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44"/>
          <w:szCs w:val="44"/>
          <w:lang w:val="en-US" w:eastAsia="zh-CN"/>
        </w:rPr>
        <w:t>重大关联交易信息披露</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根据《银行保险机构关联交易管理办法》要求，现将枣庄银行重大关联交易信息披露如下：</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一、关联交易概述及交易标的情况</w:t>
      </w:r>
    </w:p>
    <w:p>
      <w:pPr>
        <w:ind w:firstLine="640" w:firstLineChars="200"/>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山东滕建投资集团有限公司持有本行9.90%的股份,</w:t>
      </w:r>
      <w:r>
        <w:rPr>
          <w:rFonts w:hint="eastAsia" w:ascii="仿宋" w:hAnsi="仿宋" w:eastAsia="仿宋" w:cs="仿宋"/>
          <w:sz w:val="32"/>
          <w:szCs w:val="32"/>
          <w:lang w:val="zh-CN" w:eastAsia="zh-CN"/>
        </w:rPr>
        <w:t>山东滕建投资集团兴唐工程有限公司、滕州博诚路桥建设工程有限公司</w:t>
      </w:r>
      <w:r>
        <w:rPr>
          <w:rFonts w:hint="eastAsia" w:ascii="仿宋" w:hAnsi="仿宋" w:eastAsia="仿宋" w:cs="仿宋"/>
          <w:sz w:val="32"/>
          <w:szCs w:val="32"/>
          <w:lang w:val="en-US" w:eastAsia="zh-CN"/>
        </w:rPr>
        <w:t>为山东滕建投资集团有限公司的全资子公司,上述三家企业为本行关联方。</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山东滕建投资集团有限公司及其子公司在本行办理集团综合授信业务30000万元，其中敞口金额20000万元，构成重大关联交易。具体</w:t>
      </w:r>
      <w:bookmarkStart w:id="0" w:name="_GoBack"/>
      <w:bookmarkEnd w:id="0"/>
      <w:r>
        <w:rPr>
          <w:rFonts w:hint="eastAsia" w:ascii="仿宋" w:hAnsi="仿宋" w:eastAsia="仿宋" w:cs="仿宋"/>
          <w:sz w:val="32"/>
          <w:szCs w:val="32"/>
          <w:lang w:val="en-US" w:eastAsia="zh-CN"/>
        </w:rPr>
        <w:t>情况为：山东滕建投资集团有限公司申请流动资金借款10000万元，期限36个月，担保方式为保证，用于购原材料。申请签发全额银承10000万元，保证金比例100%，用于付工程款。山东滕建投资集团兴唐工程有限公司申请流动资金借款5000万元，期限36个月，担保方式为保证，用于付工程款。滕州博诚路桥建设工程有限公司申请流动资金借款5000万元，期限36个月，担保方式为保证，用于付工程款。</w:t>
      </w:r>
    </w:p>
    <w:p>
      <w:pPr>
        <w:widowControl/>
        <w:spacing w:line="48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二、交易对手情况</w:t>
      </w:r>
    </w:p>
    <w:p>
      <w:pPr>
        <w:ind w:firstLine="640" w:firstLineChars="200"/>
        <w:rPr>
          <w:rFonts w:hint="eastAsia" w:ascii="楷体" w:hAnsi="楷体" w:eastAsia="楷体" w:cs="楷体"/>
          <w:bCs/>
          <w:sz w:val="32"/>
          <w:szCs w:val="32"/>
          <w:lang w:eastAsia="zh-CN"/>
        </w:rPr>
      </w:pPr>
      <w:r>
        <w:rPr>
          <w:rFonts w:hint="eastAsia" w:ascii="楷体" w:hAnsi="楷体" w:eastAsia="楷体" w:cs="楷体"/>
          <w:bCs/>
          <w:sz w:val="32"/>
          <w:szCs w:val="32"/>
          <w:lang w:val="en-US" w:eastAsia="zh-CN"/>
        </w:rPr>
        <w:t>（一）</w:t>
      </w:r>
      <w:r>
        <w:rPr>
          <w:rFonts w:hint="eastAsia" w:ascii="楷体" w:hAnsi="楷体" w:eastAsia="楷体" w:cs="楷体"/>
          <w:bCs/>
          <w:sz w:val="32"/>
          <w:szCs w:val="32"/>
          <w:lang w:eastAsia="zh-CN"/>
        </w:rPr>
        <w:t>山东滕建投资集团有限公司</w:t>
      </w:r>
    </w:p>
    <w:p>
      <w:pPr>
        <w:ind w:firstLine="640" w:firstLineChars="200"/>
        <w:rPr>
          <w:rFonts w:hint="default"/>
          <w:lang w:val="en-US" w:eastAsia="zh-CN"/>
        </w:rPr>
      </w:pPr>
      <w:r>
        <w:rPr>
          <w:rFonts w:hint="eastAsia" w:ascii="仿宋" w:hAnsi="仿宋" w:eastAsia="仿宋" w:cs="仿宋"/>
          <w:sz w:val="32"/>
          <w:szCs w:val="32"/>
          <w:lang w:val="en-US" w:eastAsia="zh-CN"/>
        </w:rPr>
        <w:t>1.统一社会信用代码：91370481696889185G；2.企业类型：其他有限责任公司；3.企业法人：方玉新；4.注册资本：48406万元人民币（核准日：2022-03-02）；5.经营范围：项目投资：城镇基础设施建设与投资；</w:t>
      </w:r>
      <w:r>
        <w:rPr>
          <w:rFonts w:hint="eastAsia" w:ascii="仿宋" w:hAnsi="仿宋" w:eastAsia="仿宋" w:cs="仿宋"/>
          <w:sz w:val="32"/>
          <w:szCs w:val="32"/>
          <w:lang w:val="zh-CN" w:eastAsia="zh-CN"/>
        </w:rPr>
        <w:t>房地产开发经营与营销策划；物业管理；装饰材料销售；房屋租赁</w:t>
      </w:r>
      <w:r>
        <w:rPr>
          <w:rFonts w:hint="eastAsia" w:ascii="仿宋" w:hAnsi="仿宋" w:eastAsia="仿宋" w:cs="仿宋"/>
          <w:sz w:val="32"/>
          <w:szCs w:val="32"/>
          <w:lang w:val="en-US" w:eastAsia="zh-CN"/>
        </w:rPr>
        <w:t>（依法须经批准的项目，经相关部门批准后方可开展经营活动）；6.注册地址：山东省枣庄市滕州市解放中路9号</w:t>
      </w:r>
    </w:p>
    <w:p>
      <w:pPr>
        <w:ind w:firstLine="640" w:firstLineChars="200"/>
        <w:rPr>
          <w:rFonts w:hint="eastAsia" w:ascii="楷体" w:hAnsi="楷体" w:eastAsia="楷体" w:cs="楷体"/>
          <w:bCs/>
          <w:sz w:val="32"/>
          <w:szCs w:val="32"/>
          <w:lang w:val="en-US" w:eastAsia="zh-CN"/>
        </w:rPr>
      </w:pPr>
      <w:r>
        <w:rPr>
          <w:rFonts w:hint="eastAsia" w:ascii="楷体" w:hAnsi="楷体" w:eastAsia="楷体" w:cs="楷体"/>
          <w:bCs/>
          <w:sz w:val="32"/>
          <w:szCs w:val="32"/>
          <w:lang w:val="en-US" w:eastAsia="zh-CN"/>
        </w:rPr>
        <w:t>（二）山东滕建投资集团兴唐工程有限公司</w:t>
      </w:r>
    </w:p>
    <w:p>
      <w:pPr>
        <w:ind w:firstLine="640" w:firstLineChars="200"/>
        <w:rPr>
          <w:rFonts w:hint="eastAsia"/>
          <w:lang w:eastAsia="zh-CN"/>
        </w:rPr>
      </w:pPr>
      <w:r>
        <w:rPr>
          <w:rFonts w:hint="eastAsia" w:ascii="仿宋" w:hAnsi="仿宋" w:eastAsia="仿宋" w:cs="仿宋"/>
          <w:sz w:val="32"/>
          <w:szCs w:val="32"/>
          <w:lang w:val="en-US" w:eastAsia="zh-CN"/>
        </w:rPr>
        <w:t>1.统一社会信用代码：913704816980691216；2.企业类型：有限责任公司（自然人投资或控股的法人独资）；3.企业法人：刘继良；4.注册资本：5160万元人民币（核准日：2020-03-19）；5.经营范围：房屋工程建筑；土木工程建筑；地基与基础工程施工；管道工程施工；防腐保温工程施工；建筑防水工程施工；建筑防水工程施工；钢结构工程施工；机电设备安装工程施工；起重设备安装工程施工；市政公用工程施工；智能化施工；建筑安装；建筑装饰（凭安全生产许可证经营）；工程准备；建筑工程机械与设备租赁；园林绿化。（依法须经批准的项目，经相关部门批准后方可开展经营活动）；6.注册地址：山东省枣庄市滕州市解放中路9号</w:t>
      </w:r>
    </w:p>
    <w:p>
      <w:pPr>
        <w:ind w:firstLine="640" w:firstLineChars="200"/>
        <w:rPr>
          <w:rFonts w:hint="eastAsia" w:ascii="楷体" w:hAnsi="楷体" w:eastAsia="楷体" w:cs="楷体"/>
          <w:bCs/>
          <w:sz w:val="32"/>
          <w:szCs w:val="32"/>
          <w:lang w:val="en-US" w:eastAsia="zh-CN"/>
        </w:rPr>
      </w:pPr>
      <w:r>
        <w:rPr>
          <w:rFonts w:hint="eastAsia" w:ascii="楷体" w:hAnsi="楷体" w:eastAsia="楷体" w:cs="楷体"/>
          <w:bCs/>
          <w:sz w:val="32"/>
          <w:szCs w:val="32"/>
          <w:lang w:val="en-US" w:eastAsia="zh-CN"/>
        </w:rPr>
        <w:t>（三）滕州博诚路桥建设工程有限公司</w:t>
      </w:r>
    </w:p>
    <w:p>
      <w:pPr>
        <w:ind w:firstLine="640" w:firstLineChars="200"/>
        <w:rPr>
          <w:rFonts w:hint="eastAsia"/>
          <w:lang w:eastAsia="zh-CN"/>
        </w:rPr>
      </w:pPr>
      <w:r>
        <w:rPr>
          <w:rFonts w:hint="eastAsia" w:ascii="仿宋" w:hAnsi="仿宋" w:eastAsia="仿宋" w:cs="仿宋"/>
          <w:sz w:val="32"/>
          <w:szCs w:val="32"/>
          <w:lang w:val="en-US" w:eastAsia="zh-CN"/>
        </w:rPr>
        <w:t>1.统一社会信用代码：913704815754817229；2.企业类型：有限责任公司（自然人投资或控股的法人独资）；3.企业法人：刘子利；4.注册资本：2500万元人民币（核准日：2019-06-06）；5.经营范围：</w:t>
      </w:r>
      <w:r>
        <w:rPr>
          <w:rFonts w:hint="eastAsia" w:ascii="仿宋" w:hAnsi="仿宋" w:eastAsia="仿宋" w:cs="仿宋"/>
          <w:sz w:val="32"/>
          <w:szCs w:val="32"/>
          <w:lang w:val="zh-CN" w:eastAsia="zh-CN"/>
        </w:rPr>
        <w:t>城市道路、桥梁、隧道、公共广场工程施工；城市及道路照明工程施工；城市供水工程、排水工程、污水处理工程施工；园林绿化工程施工；城市生活垃圾处理工程施工及管理。</w:t>
      </w:r>
      <w:r>
        <w:rPr>
          <w:rFonts w:hint="eastAsia" w:ascii="仿宋" w:hAnsi="仿宋" w:eastAsia="仿宋" w:cs="仿宋"/>
          <w:sz w:val="32"/>
          <w:szCs w:val="32"/>
          <w:lang w:val="en-US" w:eastAsia="zh-CN"/>
        </w:rPr>
        <w:t>（依法须经批准的项目，经相关部门批准后方可开展经营活动）；6.注册地址：山东省枣庄市滕州市解放中路9号。</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三、定价政策</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该重大关联交易遵循市场化定价原则，以不优于对非关联方同类交易的条件进行。</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四、关联交易金额及相应比例</w:t>
      </w:r>
    </w:p>
    <w:p>
      <w:pPr>
        <w:adjustRightInd w:val="0"/>
        <w:snapToGrid w:val="0"/>
        <w:spacing w:line="560" w:lineRule="exact"/>
        <w:ind w:firstLine="640" w:firstLineChars="200"/>
        <w:rPr>
          <w:rFonts w:hint="eastAsia" w:ascii="Times New Roman" w:hAnsi="Times New Roman" w:eastAsia="仿宋_GB2312"/>
          <w:bCs/>
          <w:sz w:val="32"/>
          <w:szCs w:val="32"/>
          <w:lang w:val="en-US" w:eastAsia="zh-CN"/>
        </w:rPr>
      </w:pPr>
      <w:r>
        <w:rPr>
          <w:rFonts w:hint="eastAsia" w:ascii="Times New Roman" w:hAnsi="Times New Roman" w:eastAsia="仿宋_GB2312"/>
          <w:bCs/>
          <w:sz w:val="32"/>
          <w:szCs w:val="32"/>
          <w:lang w:eastAsia="zh-CN"/>
        </w:rPr>
        <w:t>截至报告日，为</w:t>
      </w:r>
      <w:r>
        <w:rPr>
          <w:rFonts w:hint="eastAsia" w:ascii="仿宋" w:hAnsi="仿宋" w:eastAsia="仿宋" w:cs="仿宋"/>
          <w:sz w:val="32"/>
          <w:szCs w:val="32"/>
          <w:lang w:val="en-US" w:eastAsia="zh-CN"/>
        </w:rPr>
        <w:t>山东滕建投资集团有限公司</w:t>
      </w:r>
      <w:r>
        <w:rPr>
          <w:rFonts w:hint="eastAsia" w:ascii="Times New Roman" w:hAnsi="Times New Roman" w:eastAsia="仿宋_GB2312"/>
          <w:bCs/>
          <w:sz w:val="32"/>
          <w:szCs w:val="32"/>
          <w:lang w:eastAsia="zh-CN"/>
        </w:rPr>
        <w:t>提供</w:t>
      </w:r>
      <w:r>
        <w:rPr>
          <w:rFonts w:hint="eastAsia" w:ascii="Times New Roman" w:hAnsi="Times New Roman" w:eastAsia="仿宋_GB2312"/>
          <w:bCs/>
          <w:sz w:val="32"/>
          <w:szCs w:val="32"/>
        </w:rPr>
        <w:t>集团</w:t>
      </w:r>
      <w:r>
        <w:rPr>
          <w:rFonts w:ascii="Times New Roman" w:hAnsi="Times New Roman" w:eastAsia="仿宋_GB2312"/>
          <w:bCs/>
          <w:sz w:val="32"/>
          <w:szCs w:val="32"/>
        </w:rPr>
        <w:t>综合授信</w:t>
      </w:r>
      <w:r>
        <w:rPr>
          <w:rFonts w:hint="eastAsia" w:ascii="Times New Roman" w:hAnsi="Times New Roman" w:eastAsia="仿宋_GB2312"/>
          <w:bCs/>
          <w:sz w:val="32"/>
          <w:szCs w:val="32"/>
          <w:lang w:val="en-US" w:eastAsia="zh-CN"/>
        </w:rPr>
        <w:t>30000万元</w:t>
      </w:r>
      <w:r>
        <w:rPr>
          <w:rFonts w:ascii="Times New Roman" w:hAnsi="Times New Roman" w:eastAsia="仿宋_GB2312"/>
          <w:bCs/>
          <w:sz w:val="32"/>
          <w:szCs w:val="32"/>
        </w:rPr>
        <w:t>，敞口授信</w:t>
      </w:r>
      <w:r>
        <w:rPr>
          <w:rFonts w:hint="eastAsia" w:ascii="Times New Roman" w:hAnsi="Times New Roman" w:eastAsia="仿宋_GB2312"/>
          <w:bCs/>
          <w:sz w:val="32"/>
          <w:szCs w:val="32"/>
          <w:lang w:val="en-US" w:eastAsia="zh-CN"/>
        </w:rPr>
        <w:t>20000万</w:t>
      </w:r>
      <w:r>
        <w:rPr>
          <w:rFonts w:ascii="Times New Roman" w:hAnsi="Times New Roman" w:eastAsia="仿宋_GB2312"/>
          <w:bCs/>
          <w:sz w:val="32"/>
          <w:szCs w:val="32"/>
        </w:rPr>
        <w:t>元，</w:t>
      </w:r>
      <w:r>
        <w:rPr>
          <w:rFonts w:hint="eastAsia" w:ascii="Times New Roman" w:hAnsi="Times New Roman" w:eastAsia="仿宋_GB2312"/>
          <w:bCs/>
          <w:sz w:val="32"/>
          <w:szCs w:val="32"/>
          <w:lang w:eastAsia="zh-CN"/>
        </w:rPr>
        <w:t>占上季度末资本净额的</w:t>
      </w:r>
      <w:r>
        <w:rPr>
          <w:rFonts w:hint="eastAsia" w:ascii="Times New Roman" w:hAnsi="Times New Roman" w:eastAsia="仿宋_GB2312"/>
          <w:bCs/>
          <w:sz w:val="32"/>
          <w:szCs w:val="32"/>
          <w:lang w:val="en-US" w:eastAsia="zh-CN"/>
        </w:rPr>
        <w:t>4.18%。</w:t>
      </w:r>
    </w:p>
    <w:p>
      <w:pPr>
        <w:pStyle w:val="2"/>
        <w:ind w:firstLine="640" w:firstLineChars="200"/>
        <w:rPr>
          <w:rFonts w:hint="eastAsia" w:ascii="黑体" w:hAnsi="黑体" w:eastAsia="黑体" w:cs="黑体"/>
          <w:bCs/>
          <w:color w:val="auto"/>
          <w:kern w:val="2"/>
          <w:sz w:val="32"/>
          <w:szCs w:val="32"/>
          <w:lang w:val="en-US" w:eastAsia="zh-CN" w:bidi="ar-SA"/>
        </w:rPr>
      </w:pPr>
      <w:r>
        <w:rPr>
          <w:rFonts w:hint="eastAsia" w:ascii="黑体" w:hAnsi="黑体" w:eastAsia="黑体" w:cs="黑体"/>
          <w:bCs/>
          <w:color w:val="auto"/>
          <w:kern w:val="2"/>
          <w:sz w:val="32"/>
          <w:szCs w:val="32"/>
          <w:lang w:val="en-US" w:eastAsia="zh-CN" w:bidi="ar-SA"/>
        </w:rPr>
        <w:t>五、审批意见或决议情况</w:t>
      </w:r>
    </w:p>
    <w:p>
      <w:pPr>
        <w:pStyle w:val="2"/>
        <w:ind w:firstLine="640" w:firstLineChars="200"/>
        <w:rPr>
          <w:rFonts w:hint="eastAsia" w:ascii="Times New Roman" w:hAnsi="Times New Roman" w:eastAsia="仿宋_GB2312" w:cstheme="minorBidi"/>
          <w:bCs/>
          <w:color w:val="auto"/>
          <w:kern w:val="2"/>
          <w:sz w:val="32"/>
          <w:szCs w:val="32"/>
          <w:lang w:val="en-US" w:eastAsia="zh-CN" w:bidi="ar-SA"/>
        </w:rPr>
      </w:pPr>
      <w:r>
        <w:rPr>
          <w:rFonts w:hint="eastAsia" w:ascii="Times New Roman" w:hAnsi="Times New Roman" w:eastAsia="仿宋_GB2312" w:cstheme="minorBidi"/>
          <w:bCs/>
          <w:color w:val="auto"/>
          <w:kern w:val="2"/>
          <w:sz w:val="32"/>
          <w:szCs w:val="32"/>
          <w:lang w:val="en-US" w:eastAsia="zh-CN" w:bidi="ar-SA"/>
        </w:rPr>
        <w:t>该重大关联交易经本行</w:t>
      </w:r>
      <w:r>
        <w:rPr>
          <w:rFonts w:hint="eastAsia" w:ascii="Times New Roman" w:hAnsi="Times New Roman" w:eastAsia="仿宋_GB2312" w:cs="Times New Roman"/>
          <w:bCs/>
          <w:sz w:val="32"/>
          <w:szCs w:val="32"/>
          <w:lang w:val="en-US" w:eastAsia="zh-CN"/>
        </w:rPr>
        <w:t>贷审会审批通过</w:t>
      </w:r>
      <w:r>
        <w:rPr>
          <w:rFonts w:hint="eastAsia" w:ascii="Times New Roman" w:hAnsi="Times New Roman" w:eastAsia="仿宋_GB2312" w:cstheme="minorBidi"/>
          <w:bCs/>
          <w:color w:val="auto"/>
          <w:kern w:val="2"/>
          <w:sz w:val="32"/>
          <w:szCs w:val="32"/>
          <w:lang w:val="en-US" w:eastAsia="zh-CN" w:bidi="ar-SA"/>
        </w:rPr>
        <w:t>，经第三次董事会审议通过，已向监管机构备案。</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六、独立董事发表意见情况</w:t>
      </w:r>
    </w:p>
    <w:p>
      <w:pPr>
        <w:pStyle w:val="2"/>
        <w:ind w:firstLine="640" w:firstLineChars="200"/>
        <w:rPr>
          <w:rFonts w:hint="eastAsia" w:ascii="Times New Roman" w:hAnsi="Times New Roman" w:eastAsia="仿宋_GB2312" w:cstheme="minorBidi"/>
          <w:bCs/>
          <w:color w:val="auto"/>
          <w:kern w:val="2"/>
          <w:sz w:val="32"/>
          <w:szCs w:val="32"/>
          <w:lang w:val="en-US" w:eastAsia="zh-CN" w:bidi="ar-SA"/>
        </w:rPr>
      </w:pPr>
      <w:r>
        <w:rPr>
          <w:rFonts w:hint="eastAsia" w:ascii="Times New Roman" w:hAnsi="Times New Roman" w:eastAsia="仿宋_GB2312" w:cstheme="minorBidi"/>
          <w:bCs/>
          <w:color w:val="auto"/>
          <w:kern w:val="2"/>
          <w:sz w:val="32"/>
          <w:szCs w:val="32"/>
          <w:lang w:val="en-US" w:eastAsia="zh-CN" w:bidi="ar-SA"/>
        </w:rPr>
        <w:t>本行独立董事许学军发表意见：基于所提供数据和信息，同意此议案。</w:t>
      </w:r>
    </w:p>
    <w:p>
      <w:pPr>
        <w:pStyle w:val="2"/>
        <w:ind w:firstLine="4480" w:firstLineChars="1400"/>
        <w:rPr>
          <w:rFonts w:hint="eastAsia" w:ascii="Times New Roman" w:hAnsi="Times New Roman" w:eastAsia="仿宋_GB2312" w:cstheme="minorBidi"/>
          <w:bCs/>
          <w:color w:val="auto"/>
          <w:kern w:val="2"/>
          <w:sz w:val="32"/>
          <w:szCs w:val="32"/>
          <w:lang w:val="en-US" w:eastAsia="zh-CN" w:bidi="ar-SA"/>
        </w:rPr>
      </w:pPr>
    </w:p>
    <w:p>
      <w:pPr>
        <w:pStyle w:val="2"/>
        <w:ind w:firstLine="4480" w:firstLineChars="1400"/>
        <w:rPr>
          <w:rFonts w:hint="eastAsia" w:ascii="Times New Roman" w:hAnsi="Times New Roman" w:eastAsia="仿宋_GB2312" w:cstheme="minorBidi"/>
          <w:bCs/>
          <w:color w:val="auto"/>
          <w:kern w:val="2"/>
          <w:sz w:val="32"/>
          <w:szCs w:val="32"/>
          <w:lang w:val="en-US" w:eastAsia="zh-CN" w:bidi="ar-SA"/>
        </w:rPr>
      </w:pPr>
      <w:r>
        <w:rPr>
          <w:rFonts w:hint="eastAsia" w:ascii="Times New Roman" w:hAnsi="Times New Roman" w:eastAsia="仿宋_GB2312" w:cstheme="minorBidi"/>
          <w:bCs/>
          <w:color w:val="auto"/>
          <w:kern w:val="2"/>
          <w:sz w:val="32"/>
          <w:szCs w:val="32"/>
          <w:lang w:val="en-US" w:eastAsia="zh-CN" w:bidi="ar-SA"/>
        </w:rPr>
        <w:t>枣庄银行股份有限公司</w:t>
      </w:r>
    </w:p>
    <w:p>
      <w:pPr>
        <w:pStyle w:val="2"/>
        <w:ind w:firstLine="5440" w:firstLineChars="1700"/>
        <w:rPr>
          <w:rFonts w:hint="default" w:ascii="Times New Roman" w:hAnsi="Times New Roman" w:eastAsia="仿宋_GB2312" w:cstheme="minorBidi"/>
          <w:bCs/>
          <w:color w:val="auto"/>
          <w:kern w:val="2"/>
          <w:sz w:val="32"/>
          <w:szCs w:val="32"/>
          <w:lang w:val="en-US" w:eastAsia="zh-CN" w:bidi="ar-SA"/>
        </w:rPr>
      </w:pPr>
      <w:r>
        <w:rPr>
          <w:rFonts w:hint="eastAsia" w:ascii="Times New Roman" w:hAnsi="Times New Roman" w:eastAsia="仿宋_GB2312" w:cstheme="minorBidi"/>
          <w:bCs/>
          <w:color w:val="auto"/>
          <w:kern w:val="2"/>
          <w:sz w:val="32"/>
          <w:szCs w:val="32"/>
          <w:lang w:val="en-US" w:eastAsia="zh-CN" w:bidi="ar-SA"/>
        </w:rPr>
        <w:t>2022年6月27日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04F1E"/>
    <w:rsid w:val="024D09E8"/>
    <w:rsid w:val="03220EE2"/>
    <w:rsid w:val="04DF6747"/>
    <w:rsid w:val="051C57AE"/>
    <w:rsid w:val="052D2ADA"/>
    <w:rsid w:val="06E34F3A"/>
    <w:rsid w:val="0B276664"/>
    <w:rsid w:val="0C724EEB"/>
    <w:rsid w:val="0D034C48"/>
    <w:rsid w:val="0D0B60AF"/>
    <w:rsid w:val="149A56E7"/>
    <w:rsid w:val="153A7731"/>
    <w:rsid w:val="173A6662"/>
    <w:rsid w:val="17676379"/>
    <w:rsid w:val="17AF2487"/>
    <w:rsid w:val="19EF2ABA"/>
    <w:rsid w:val="1A257CB0"/>
    <w:rsid w:val="1AEE45AF"/>
    <w:rsid w:val="1D0E5750"/>
    <w:rsid w:val="203520CE"/>
    <w:rsid w:val="21C9096A"/>
    <w:rsid w:val="27BE7047"/>
    <w:rsid w:val="29832087"/>
    <w:rsid w:val="2AF90001"/>
    <w:rsid w:val="2EF93FBE"/>
    <w:rsid w:val="2F895F0C"/>
    <w:rsid w:val="31FB0FD5"/>
    <w:rsid w:val="332447D6"/>
    <w:rsid w:val="35E53D13"/>
    <w:rsid w:val="3F717151"/>
    <w:rsid w:val="3F994929"/>
    <w:rsid w:val="41A04A06"/>
    <w:rsid w:val="452B6250"/>
    <w:rsid w:val="45F0142B"/>
    <w:rsid w:val="45F5127C"/>
    <w:rsid w:val="479131EF"/>
    <w:rsid w:val="4F7A794F"/>
    <w:rsid w:val="508560A4"/>
    <w:rsid w:val="53D70855"/>
    <w:rsid w:val="554221C9"/>
    <w:rsid w:val="57A0659A"/>
    <w:rsid w:val="57D42E23"/>
    <w:rsid w:val="586D2F1B"/>
    <w:rsid w:val="59C46077"/>
    <w:rsid w:val="5AB137EF"/>
    <w:rsid w:val="5AD056A3"/>
    <w:rsid w:val="5DF133F3"/>
    <w:rsid w:val="5E8C2382"/>
    <w:rsid w:val="60037D7D"/>
    <w:rsid w:val="615458AD"/>
    <w:rsid w:val="625B57E9"/>
    <w:rsid w:val="645A2428"/>
    <w:rsid w:val="65096326"/>
    <w:rsid w:val="653B134F"/>
    <w:rsid w:val="65436ED5"/>
    <w:rsid w:val="66376873"/>
    <w:rsid w:val="6CD42787"/>
    <w:rsid w:val="6E9A7CE2"/>
    <w:rsid w:val="721D17EB"/>
    <w:rsid w:val="72C80994"/>
    <w:rsid w:val="756449DD"/>
    <w:rsid w:val="79796E3D"/>
    <w:rsid w:val="7C603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ascii="方正小标宋简体" w:hAnsi="方正小标宋简体" w:eastAsia="方正小标宋简体" w:cs="Times New Roman"/>
      <w:color w:val="000000"/>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zhouhang</dc:creator>
  <cp:lastModifiedBy>周航</cp:lastModifiedBy>
  <dcterms:modified xsi:type="dcterms:W3CDTF">2022-10-26T06:34:07Z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