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宋体" w:cs="Times New Roman"/>
          <w:color w:val="000000"/>
          <w:sz w:val="44"/>
          <w:szCs w:val="44"/>
          <w:highlight w:val="none"/>
        </w:rPr>
      </w:pPr>
      <w:bookmarkStart w:id="0" w:name="_GoBack"/>
      <w:bookmarkEnd w:id="0"/>
      <w:r>
        <w:rPr>
          <w:rFonts w:hint="default" w:ascii="Times New Roman" w:hAnsi="Times New Roman" w:eastAsia="宋体" w:cs="Times New Roman"/>
          <w:color w:val="000000"/>
          <w:sz w:val="44"/>
          <w:szCs w:val="44"/>
          <w:highlight w:val="none"/>
        </w:rPr>
        <w:t>枣庄银行20</w:t>
      </w:r>
      <w:r>
        <w:rPr>
          <w:rFonts w:hint="default" w:ascii="Times New Roman" w:hAnsi="Times New Roman" w:cs="Times New Roman"/>
          <w:color w:val="000000"/>
          <w:sz w:val="44"/>
          <w:szCs w:val="44"/>
          <w:highlight w:val="none"/>
          <w:lang w:val="en-US" w:eastAsia="zh-CN"/>
        </w:rPr>
        <w:t>2</w:t>
      </w:r>
      <w:r>
        <w:rPr>
          <w:rFonts w:hint="eastAsia" w:ascii="Times New Roman" w:hAnsi="Times New Roman" w:cs="Times New Roman"/>
          <w:color w:val="000000"/>
          <w:sz w:val="44"/>
          <w:szCs w:val="44"/>
          <w:highlight w:val="none"/>
          <w:lang w:val="en-US" w:eastAsia="zh-CN"/>
        </w:rPr>
        <w:t>6</w:t>
      </w:r>
      <w:r>
        <w:rPr>
          <w:rFonts w:hint="default" w:ascii="Times New Roman" w:hAnsi="Times New Roman" w:eastAsia="宋体" w:cs="Times New Roman"/>
          <w:color w:val="000000"/>
          <w:sz w:val="44"/>
          <w:szCs w:val="44"/>
          <w:highlight w:val="none"/>
        </w:rPr>
        <w:t>年</w:t>
      </w:r>
      <w:r>
        <w:rPr>
          <w:rFonts w:hint="eastAsia" w:ascii="Times New Roman" w:hAnsi="Times New Roman" w:cs="Times New Roman"/>
          <w:color w:val="000000"/>
          <w:sz w:val="44"/>
          <w:szCs w:val="44"/>
          <w:highlight w:val="none"/>
          <w:lang w:val="en-US" w:eastAsia="zh-CN"/>
        </w:rPr>
        <w:t>一</w:t>
      </w:r>
      <w:r>
        <w:rPr>
          <w:rFonts w:hint="default" w:ascii="Times New Roman" w:hAnsi="Times New Roman" w:eastAsia="宋体" w:cs="Times New Roman"/>
          <w:color w:val="000000"/>
          <w:sz w:val="44"/>
          <w:szCs w:val="44"/>
          <w:highlight w:val="none"/>
        </w:rPr>
        <w:t>季度</w:t>
      </w:r>
    </w:p>
    <w:p>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宋体" w:cs="Times New Roman"/>
          <w:color w:val="000000"/>
          <w:sz w:val="44"/>
          <w:szCs w:val="44"/>
          <w:highlight w:val="none"/>
          <w:lang w:val="en-US" w:eastAsia="zh-CN"/>
        </w:rPr>
      </w:pPr>
      <w:r>
        <w:rPr>
          <w:rFonts w:hint="default" w:ascii="Times New Roman" w:hAnsi="Times New Roman" w:eastAsia="宋体" w:cs="Times New Roman"/>
          <w:color w:val="000000"/>
          <w:sz w:val="44"/>
          <w:szCs w:val="44"/>
          <w:highlight w:val="none"/>
        </w:rPr>
        <w:t>关联交易</w:t>
      </w:r>
      <w:r>
        <w:rPr>
          <w:rFonts w:hint="eastAsia" w:ascii="Times New Roman" w:hAnsi="Times New Roman" w:cs="Times New Roman"/>
          <w:color w:val="000000"/>
          <w:sz w:val="44"/>
          <w:szCs w:val="44"/>
          <w:highlight w:val="none"/>
          <w:lang w:val="en-US" w:eastAsia="zh-CN"/>
        </w:rPr>
        <w:t>信息披露</w:t>
      </w:r>
    </w:p>
    <w:p>
      <w:pPr>
        <w:keepNext w:val="0"/>
        <w:keepLines w:val="0"/>
        <w:pageBreakBefore w:val="0"/>
        <w:widowControl w:val="0"/>
        <w:kinsoku/>
        <w:wordWrap/>
        <w:overflowPunct/>
        <w:topLinePunct w:val="0"/>
        <w:bidi w:val="0"/>
        <w:snapToGrid/>
        <w:spacing w:line="560" w:lineRule="exact"/>
        <w:ind w:left="0"/>
        <w:jc w:val="both"/>
        <w:textAlignment w:val="auto"/>
        <w:outlineLvl w:val="9"/>
        <w:rPr>
          <w:rFonts w:hint="default" w:ascii="Times New Roman" w:hAnsi="Times New Roman" w:eastAsia="仿宋_GB2312" w:cs="Times New Roman"/>
          <w:b w:val="0"/>
          <w:bCs/>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现将202</w:t>
      </w:r>
      <w:r>
        <w:rPr>
          <w:rFonts w:hint="eastAsia" w:ascii="Times New Roman" w:hAnsi="Times New Roman" w:eastAsia="仿宋_GB2312" w:cs="Times New Roman"/>
          <w:bCs/>
          <w:color w:val="auto"/>
          <w:sz w:val="32"/>
          <w:szCs w:val="32"/>
          <w:highlight w:val="none"/>
          <w:lang w:val="en-US" w:eastAsia="zh-CN"/>
        </w:rPr>
        <w:t>6</w:t>
      </w:r>
      <w:r>
        <w:rPr>
          <w:rFonts w:hint="default" w:ascii="Times New Roman" w:hAnsi="Times New Roman" w:eastAsia="仿宋_GB2312" w:cs="Times New Roman"/>
          <w:bCs/>
          <w:color w:val="auto"/>
          <w:sz w:val="32"/>
          <w:szCs w:val="32"/>
          <w:highlight w:val="none"/>
          <w:lang w:val="en-US" w:eastAsia="zh-CN"/>
        </w:rPr>
        <w:t>年第</w:t>
      </w:r>
      <w:r>
        <w:rPr>
          <w:rFonts w:hint="eastAsia" w:ascii="Times New Roman" w:hAnsi="Times New Roman" w:eastAsia="仿宋_GB2312" w:cs="Times New Roman"/>
          <w:bCs/>
          <w:color w:val="auto"/>
          <w:sz w:val="32"/>
          <w:szCs w:val="32"/>
          <w:highlight w:val="none"/>
          <w:lang w:val="en-US" w:eastAsia="zh-CN"/>
        </w:rPr>
        <w:t>一</w:t>
      </w:r>
      <w:r>
        <w:rPr>
          <w:rFonts w:hint="default" w:ascii="Times New Roman" w:hAnsi="Times New Roman" w:eastAsia="仿宋_GB2312" w:cs="Times New Roman"/>
          <w:bCs/>
          <w:color w:val="auto"/>
          <w:sz w:val="32"/>
          <w:szCs w:val="32"/>
          <w:highlight w:val="none"/>
          <w:lang w:val="en-US" w:eastAsia="zh-CN"/>
        </w:rPr>
        <w:t>季度关联交易</w:t>
      </w:r>
      <w:r>
        <w:rPr>
          <w:rFonts w:hint="eastAsia" w:ascii="Times New Roman" w:hAnsi="Times New Roman" w:eastAsia="仿宋_GB2312" w:cs="Times New Roman"/>
          <w:bCs/>
          <w:color w:val="auto"/>
          <w:sz w:val="32"/>
          <w:szCs w:val="32"/>
          <w:highlight w:val="none"/>
          <w:lang w:val="en-US" w:eastAsia="zh-CN"/>
        </w:rPr>
        <w:t>信息披露</w:t>
      </w:r>
      <w:r>
        <w:rPr>
          <w:rFonts w:hint="default" w:ascii="Times New Roman" w:hAnsi="Times New Roman" w:eastAsia="仿宋_GB2312" w:cs="Times New Roman"/>
          <w:bCs/>
          <w:color w:val="auto"/>
          <w:sz w:val="32"/>
          <w:szCs w:val="32"/>
          <w:highlight w:val="none"/>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outlineLvl w:val="9"/>
        <w:rPr>
          <w:rFonts w:hint="default"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一、授信类</w:t>
      </w:r>
      <w:r>
        <w:rPr>
          <w:rFonts w:hint="default" w:ascii="Times New Roman" w:hAnsi="Times New Roman" w:eastAsia="黑体" w:cs="Times New Roman"/>
          <w:bCs/>
          <w:color w:val="auto"/>
          <w:sz w:val="32"/>
          <w:szCs w:val="32"/>
          <w:highlight w:val="none"/>
          <w:lang w:val="en-US" w:eastAsia="zh-CN"/>
        </w:rPr>
        <w:t>关联交易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202</w:t>
      </w:r>
      <w:r>
        <w:rPr>
          <w:rFonts w:hint="eastAsia" w:ascii="Times New Roman" w:hAnsi="Times New Roman" w:eastAsia="仿宋_GB2312" w:cs="Times New Roman"/>
          <w:bCs/>
          <w:color w:val="auto"/>
          <w:sz w:val="32"/>
          <w:szCs w:val="32"/>
          <w:highlight w:val="none"/>
          <w:lang w:val="en-US" w:eastAsia="zh-CN"/>
        </w:rPr>
        <w:t>6</w:t>
      </w:r>
      <w:r>
        <w:rPr>
          <w:rFonts w:hint="default" w:ascii="Times New Roman" w:hAnsi="Times New Roman" w:eastAsia="仿宋_GB2312" w:cs="Times New Roman"/>
          <w:bCs/>
          <w:color w:val="auto"/>
          <w:sz w:val="32"/>
          <w:szCs w:val="32"/>
          <w:highlight w:val="none"/>
          <w:lang w:val="en-US" w:eastAsia="zh-CN"/>
        </w:rPr>
        <w:t>年第</w:t>
      </w:r>
      <w:r>
        <w:rPr>
          <w:rFonts w:hint="eastAsia" w:ascii="Times New Roman" w:hAnsi="Times New Roman" w:eastAsia="仿宋_GB2312" w:cs="Times New Roman"/>
          <w:bCs/>
          <w:color w:val="auto"/>
          <w:sz w:val="32"/>
          <w:szCs w:val="32"/>
          <w:highlight w:val="none"/>
          <w:lang w:val="en-US" w:eastAsia="zh-CN"/>
        </w:rPr>
        <w:t>一</w:t>
      </w:r>
      <w:r>
        <w:rPr>
          <w:rFonts w:hint="default" w:ascii="Times New Roman" w:hAnsi="Times New Roman" w:eastAsia="仿宋_GB2312" w:cs="Times New Roman"/>
          <w:bCs/>
          <w:color w:val="auto"/>
          <w:sz w:val="32"/>
          <w:szCs w:val="32"/>
          <w:highlight w:val="none"/>
          <w:lang w:val="en-US" w:eastAsia="zh-CN"/>
        </w:rPr>
        <w:t>季度末，本行关联交易余额</w:t>
      </w:r>
      <w:r>
        <w:rPr>
          <w:rFonts w:hint="eastAsia" w:ascii="Times New Roman" w:hAnsi="Times New Roman" w:eastAsia="仿宋_GB2312" w:cs="Times New Roman"/>
          <w:bCs/>
          <w:color w:val="auto"/>
          <w:sz w:val="32"/>
          <w:szCs w:val="32"/>
          <w:highlight w:val="none"/>
          <w:lang w:val="en-US" w:eastAsia="zh-CN"/>
        </w:rPr>
        <w:t>17.75亿</w:t>
      </w:r>
      <w:r>
        <w:rPr>
          <w:rFonts w:hint="default" w:ascii="Times New Roman" w:hAnsi="Times New Roman" w:eastAsia="仿宋_GB2312" w:cs="Times New Roman"/>
          <w:bCs/>
          <w:color w:val="auto"/>
          <w:sz w:val="32"/>
          <w:szCs w:val="32"/>
          <w:highlight w:val="none"/>
          <w:lang w:val="en-US" w:eastAsia="zh-CN"/>
        </w:rPr>
        <w:t>元，占资本净额的比例为</w:t>
      </w:r>
      <w:r>
        <w:rPr>
          <w:rFonts w:hint="eastAsia" w:ascii="Times New Roman" w:hAnsi="Times New Roman" w:eastAsia="仿宋_GB2312" w:cs="Times New Roman"/>
          <w:bCs/>
          <w:color w:val="auto"/>
          <w:sz w:val="32"/>
          <w:szCs w:val="32"/>
          <w:highlight w:val="none"/>
          <w:lang w:val="en-US" w:eastAsia="zh-CN"/>
        </w:rPr>
        <w:t>25.00</w:t>
      </w:r>
      <w:r>
        <w:rPr>
          <w:rFonts w:hint="default"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000000"/>
          <w:kern w:val="0"/>
          <w:sz w:val="32"/>
          <w:szCs w:val="32"/>
          <w:highlight w:val="none"/>
        </w:rPr>
        <w:t>重大关联交易</w:t>
      </w:r>
      <w:r>
        <w:rPr>
          <w:rFonts w:hint="default" w:ascii="Times New Roman" w:hAnsi="Times New Roman" w:eastAsia="仿宋_GB2312" w:cs="Times New Roman"/>
          <w:bCs/>
          <w:color w:val="000000"/>
          <w:kern w:val="0"/>
          <w:sz w:val="32"/>
          <w:szCs w:val="32"/>
          <w:highlight w:val="none"/>
          <w:lang w:eastAsia="zh-CN"/>
        </w:rPr>
        <w:t>授信</w:t>
      </w:r>
      <w:r>
        <w:rPr>
          <w:rFonts w:hint="eastAsia" w:ascii="Times New Roman" w:hAnsi="Times New Roman" w:eastAsia="仿宋_GB2312" w:cs="Times New Roman"/>
          <w:bCs/>
          <w:color w:val="000000"/>
          <w:kern w:val="0"/>
          <w:sz w:val="32"/>
          <w:szCs w:val="32"/>
          <w:highlight w:val="none"/>
          <w:lang w:val="en-US" w:eastAsia="zh-CN"/>
        </w:rPr>
        <w:t>11户，金额17.18亿</w:t>
      </w:r>
      <w:r>
        <w:rPr>
          <w:rFonts w:hint="default" w:ascii="Times New Roman" w:hAnsi="Times New Roman" w:eastAsia="仿宋_GB2312" w:cs="Times New Roman"/>
          <w:bCs/>
          <w:color w:val="000000"/>
          <w:kern w:val="0"/>
          <w:sz w:val="32"/>
          <w:szCs w:val="32"/>
          <w:highlight w:val="none"/>
        </w:rPr>
        <w:t>元</w:t>
      </w:r>
      <w:r>
        <w:rPr>
          <w:rFonts w:hint="eastAsia" w:ascii="Times New Roman" w:hAnsi="Times New Roman" w:eastAsia="仿宋_GB2312" w:cs="Times New Roman"/>
          <w:bCs/>
          <w:color w:val="000000"/>
          <w:kern w:val="0"/>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占资本净额的比例为</w:t>
      </w:r>
      <w:r>
        <w:rPr>
          <w:rFonts w:hint="eastAsia" w:ascii="仿宋" w:hAnsi="仿宋" w:eastAsia="仿宋" w:cs="仿宋"/>
          <w:color w:val="auto"/>
          <w:sz w:val="32"/>
          <w:szCs w:val="32"/>
          <w:highlight w:val="none"/>
          <w:lang w:val="en-US" w:eastAsia="zh-CN"/>
        </w:rPr>
        <w:t>24.20</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000000"/>
          <w:kern w:val="0"/>
          <w:sz w:val="32"/>
          <w:szCs w:val="32"/>
          <w:highlight w:val="none"/>
        </w:rPr>
        <w:t>。</w:t>
      </w:r>
      <w:r>
        <w:rPr>
          <w:rFonts w:hint="default" w:ascii="Times New Roman" w:hAnsi="Times New Roman" w:eastAsia="仿宋_GB2312" w:cs="Times New Roman"/>
          <w:bCs/>
          <w:color w:val="auto"/>
          <w:sz w:val="32"/>
          <w:szCs w:val="32"/>
          <w:highlight w:val="none"/>
          <w:lang w:val="en-US" w:eastAsia="zh-CN"/>
        </w:rPr>
        <w:t>一般关联交易</w:t>
      </w:r>
      <w:r>
        <w:rPr>
          <w:rFonts w:hint="eastAsia" w:ascii="Times New Roman" w:hAnsi="Times New Roman" w:eastAsia="仿宋_GB2312" w:cs="Times New Roman"/>
          <w:bCs/>
          <w:color w:val="auto"/>
          <w:sz w:val="32"/>
          <w:szCs w:val="32"/>
          <w:highlight w:val="none"/>
          <w:lang w:val="en-US" w:eastAsia="zh-CN"/>
        </w:rPr>
        <w:t>88户，</w:t>
      </w:r>
      <w:r>
        <w:rPr>
          <w:rFonts w:hint="default" w:ascii="Times New Roman" w:hAnsi="Times New Roman" w:eastAsia="仿宋_GB2312" w:cs="Times New Roman"/>
          <w:bCs/>
          <w:color w:val="auto"/>
          <w:sz w:val="32"/>
          <w:szCs w:val="32"/>
          <w:highlight w:val="none"/>
          <w:lang w:val="en-US" w:eastAsia="zh-CN"/>
        </w:rPr>
        <w:t>余额</w:t>
      </w:r>
      <w:r>
        <w:rPr>
          <w:rFonts w:hint="eastAsia" w:ascii="Times New Roman" w:hAnsi="Times New Roman" w:eastAsia="仿宋_GB2312" w:cs="Times New Roman"/>
          <w:bCs/>
          <w:color w:val="auto"/>
          <w:sz w:val="32"/>
          <w:szCs w:val="32"/>
          <w:highlight w:val="none"/>
          <w:lang w:val="en-US" w:eastAsia="zh-CN"/>
        </w:rPr>
        <w:t>0.57亿</w:t>
      </w:r>
      <w:r>
        <w:rPr>
          <w:rFonts w:hint="default" w:ascii="Times New Roman" w:hAnsi="Times New Roman" w:eastAsia="仿宋_GB2312" w:cs="Times New Roman"/>
          <w:bCs/>
          <w:color w:val="auto"/>
          <w:sz w:val="32"/>
          <w:szCs w:val="32"/>
          <w:highlight w:val="none"/>
          <w:lang w:val="en-US" w:eastAsia="zh-CN"/>
        </w:rPr>
        <w:t>元，占资本净额的比例为</w:t>
      </w:r>
      <w:r>
        <w:rPr>
          <w:rFonts w:hint="eastAsia" w:ascii="仿宋" w:hAnsi="仿宋" w:eastAsia="仿宋" w:cs="仿宋"/>
          <w:color w:val="auto"/>
          <w:sz w:val="32"/>
          <w:szCs w:val="32"/>
          <w:highlight w:val="none"/>
          <w:lang w:val="en-US" w:eastAsia="zh-CN"/>
        </w:rPr>
        <w:t>0.80</w:t>
      </w: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outlineLvl w:val="9"/>
        <w:rPr>
          <w:rFonts w:hint="eastAsia"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资产转移类关联交易</w:t>
      </w:r>
    </w:p>
    <w:p>
      <w:pPr>
        <w:pStyle w:val="2"/>
        <w:ind w:firstLine="640" w:firstLineChars="200"/>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无资产转移类关联交易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outlineLvl w:val="9"/>
        <w:rPr>
          <w:rFonts w:hint="default"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服务类关联交易</w:t>
      </w:r>
    </w:p>
    <w:p>
      <w:pPr>
        <w:pStyle w:val="2"/>
        <w:ind w:firstLine="640" w:firstLineChars="200"/>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无服务类关联交易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以上关联交易</w:t>
      </w:r>
      <w:r>
        <w:rPr>
          <w:rFonts w:hint="default" w:ascii="Times New Roman" w:hAnsi="Times New Roman" w:eastAsia="仿宋_GB2312" w:cs="Times New Roman"/>
          <w:bCs/>
          <w:color w:val="auto"/>
          <w:sz w:val="32"/>
          <w:szCs w:val="32"/>
          <w:highlight w:val="none"/>
          <w:lang w:val="en-US" w:eastAsia="zh-CN"/>
        </w:rPr>
        <w:t>依据《银行保险机构关联交易管理办法》、《枣庄银行股份有限公司关联交易管理办法》的规定，按照商业原则，</w:t>
      </w:r>
      <w:r>
        <w:rPr>
          <w:rFonts w:hint="eastAsia" w:ascii="Times New Roman" w:hAnsi="Times New Roman" w:eastAsia="仿宋_GB2312" w:cs="Times New Roman"/>
          <w:bCs/>
          <w:color w:val="auto"/>
          <w:sz w:val="32"/>
          <w:szCs w:val="32"/>
          <w:highlight w:val="none"/>
          <w:lang w:val="en-US" w:eastAsia="zh-CN"/>
        </w:rPr>
        <w:t>不存在</w:t>
      </w:r>
      <w:r>
        <w:rPr>
          <w:rFonts w:hint="default" w:ascii="Times New Roman" w:hAnsi="Times New Roman" w:eastAsia="仿宋_GB2312" w:cs="Times New Roman"/>
          <w:bCs/>
          <w:color w:val="auto"/>
          <w:sz w:val="32"/>
          <w:szCs w:val="32"/>
          <w:highlight w:val="none"/>
          <w:lang w:val="en-US" w:eastAsia="zh-CN"/>
        </w:rPr>
        <w:t>优于对非关联方同类交易的条件与关联方进行关联交易。“对一个关联方的授信余额不超过本行资本净额10%；对一个关联法人或其他组织所在集团客户的授信余额总数不超过本行资本净额15%；对全部关联方的授信余额不超过本行资本净额50%”的规定</w:t>
      </w:r>
      <w:r>
        <w:rPr>
          <w:rFonts w:hint="eastAsia" w:ascii="Times New Roman" w:hAnsi="Times New Roman" w:eastAsia="仿宋_GB2312" w:cs="Times New Roman"/>
          <w:bCs/>
          <w:color w:val="auto"/>
          <w:sz w:val="32"/>
          <w:szCs w:val="32"/>
          <w:highlight w:val="none"/>
          <w:lang w:val="en-US" w:eastAsia="zh-CN"/>
        </w:rPr>
        <w:t>，各项比例指标符合监管要求。</w:t>
      </w:r>
    </w:p>
    <w:p>
      <w:pPr>
        <w:pStyle w:val="2"/>
        <w:jc w:val="right"/>
        <w:rPr>
          <w:rFonts w:hint="default"/>
          <w:lang w:val="en-US" w:eastAsia="zh-CN"/>
        </w:rPr>
      </w:pPr>
      <w:r>
        <w:rPr>
          <w:rFonts w:hint="eastAsia" w:ascii="Times New Roman" w:hAnsi="Times New Roman" w:eastAsia="仿宋_GB2312" w:cs="Times New Roman"/>
          <w:bCs/>
          <w:color w:val="auto"/>
          <w:sz w:val="32"/>
          <w:szCs w:val="32"/>
          <w:highlight w:val="none"/>
          <w:lang w:val="en-US" w:eastAsia="zh-CN"/>
        </w:rPr>
        <w:t>2026年4月</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2DB1BE"/>
    <w:multiLevelType w:val="singleLevel"/>
    <w:tmpl w:val="F22DB1BE"/>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81CDF"/>
    <w:rsid w:val="04CF07E0"/>
    <w:rsid w:val="055D7E9D"/>
    <w:rsid w:val="061D4E7F"/>
    <w:rsid w:val="06BE6324"/>
    <w:rsid w:val="08DF4E4A"/>
    <w:rsid w:val="09347B9D"/>
    <w:rsid w:val="0CF84EF8"/>
    <w:rsid w:val="0F4E6644"/>
    <w:rsid w:val="0F861FE2"/>
    <w:rsid w:val="10E919AC"/>
    <w:rsid w:val="126E4BDA"/>
    <w:rsid w:val="12AE5935"/>
    <w:rsid w:val="13F36D2D"/>
    <w:rsid w:val="143C2128"/>
    <w:rsid w:val="18613DE8"/>
    <w:rsid w:val="1C051E54"/>
    <w:rsid w:val="1CD02378"/>
    <w:rsid w:val="1D3014D8"/>
    <w:rsid w:val="1DC97EAC"/>
    <w:rsid w:val="1E922D37"/>
    <w:rsid w:val="1F5D5318"/>
    <w:rsid w:val="1FCA3A09"/>
    <w:rsid w:val="1FF87C78"/>
    <w:rsid w:val="22593B02"/>
    <w:rsid w:val="25780E17"/>
    <w:rsid w:val="25A8296F"/>
    <w:rsid w:val="25FF61FE"/>
    <w:rsid w:val="29FB317F"/>
    <w:rsid w:val="2B64710D"/>
    <w:rsid w:val="2C9B6F17"/>
    <w:rsid w:val="2DE76D09"/>
    <w:rsid w:val="2E252D66"/>
    <w:rsid w:val="2FE72812"/>
    <w:rsid w:val="2FFA4476"/>
    <w:rsid w:val="31691729"/>
    <w:rsid w:val="33086678"/>
    <w:rsid w:val="337D082F"/>
    <w:rsid w:val="33E44A61"/>
    <w:rsid w:val="35E9488D"/>
    <w:rsid w:val="36E4513F"/>
    <w:rsid w:val="373724CE"/>
    <w:rsid w:val="37994880"/>
    <w:rsid w:val="38725F27"/>
    <w:rsid w:val="39245ADA"/>
    <w:rsid w:val="395A6409"/>
    <w:rsid w:val="3B800902"/>
    <w:rsid w:val="3BA517FA"/>
    <w:rsid w:val="3DBD1BB1"/>
    <w:rsid w:val="3F7A194C"/>
    <w:rsid w:val="404F58BF"/>
    <w:rsid w:val="457B7405"/>
    <w:rsid w:val="468915D4"/>
    <w:rsid w:val="46A21567"/>
    <w:rsid w:val="46E8631C"/>
    <w:rsid w:val="470E2B09"/>
    <w:rsid w:val="4B7C5673"/>
    <w:rsid w:val="4C356854"/>
    <w:rsid w:val="4D5A1699"/>
    <w:rsid w:val="4F87640E"/>
    <w:rsid w:val="52A35B68"/>
    <w:rsid w:val="52D82CE2"/>
    <w:rsid w:val="57E67161"/>
    <w:rsid w:val="5A1F302D"/>
    <w:rsid w:val="5AE8398D"/>
    <w:rsid w:val="5C000A5D"/>
    <w:rsid w:val="5C350AA1"/>
    <w:rsid w:val="62417710"/>
    <w:rsid w:val="63221164"/>
    <w:rsid w:val="64620CA6"/>
    <w:rsid w:val="66031170"/>
    <w:rsid w:val="66EB72DE"/>
    <w:rsid w:val="675675E1"/>
    <w:rsid w:val="6797649D"/>
    <w:rsid w:val="67B15DF7"/>
    <w:rsid w:val="682311A1"/>
    <w:rsid w:val="688910C0"/>
    <w:rsid w:val="6B6B3FF8"/>
    <w:rsid w:val="6B7A4BA9"/>
    <w:rsid w:val="6B8D41D9"/>
    <w:rsid w:val="71A4752D"/>
    <w:rsid w:val="757A3605"/>
    <w:rsid w:val="76A70041"/>
    <w:rsid w:val="7A6B29E6"/>
    <w:rsid w:val="7B823C48"/>
    <w:rsid w:val="7B887682"/>
    <w:rsid w:val="7CD610D2"/>
    <w:rsid w:val="7E6B6BE7"/>
    <w:rsid w:val="7EA01151"/>
    <w:rsid w:val="7F8B52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unhideWhenUsed/>
    <w:qFormat/>
    <w:uiPriority w:val="99"/>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 w:type="paragraph" w:customStyle="1" w:styleId="3">
    <w:name w:val="TOC 标题4"/>
    <w:basedOn w:val="4"/>
    <w:next w:val="1"/>
    <w:qFormat/>
    <w:uiPriority w:val="39"/>
    <w:pPr>
      <w:widowControl/>
      <w:spacing w:before="480" w:line="276" w:lineRule="auto"/>
      <w:ind w:firstLine="0" w:firstLineChars="0"/>
      <w:contextualSpacing/>
      <w:jc w:val="left"/>
      <w:outlineLvl w:val="9"/>
    </w:pPr>
    <w:rPr>
      <w:rFonts w:ascii="Cambria" w:hAnsi="Cambria" w:eastAsia="宋体"/>
      <w:color w:val="365F91"/>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357</Words>
  <Characters>402</Characters>
  <Lines>0</Lines>
  <Paragraphs>0</Paragraphs>
  <TotalTime>1</TotalTime>
  <ScaleCrop>false</ScaleCrop>
  <LinksUpToDate>false</LinksUpToDate>
  <CharactersWithSpaces>404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2024-04-16T17:07:00Z</dcterms:created>
  <dc:creator>zzbank</dc:creator>
  <cp:lastModifiedBy>新闻公告</cp:lastModifiedBy>
  <dcterms:modified xsi:type="dcterms:W3CDTF">2026-05-21T08:00:28Z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85AA99C9C3C3D1F354BA0E6AB61D5A9B_43</vt:lpwstr>
  </property>
</Properties>
</file>